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402" w:rsidRPr="000B4725" w:rsidRDefault="00EB6402" w:rsidP="00EB6402">
      <w:pPr>
        <w:spacing w:after="0" w:line="240" w:lineRule="auto"/>
        <w:jc w:val="center"/>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OFICIO N° 045740</w:t>
      </w:r>
    </w:p>
    <w:p w:rsidR="00EB6402" w:rsidRPr="000B4725" w:rsidRDefault="00EB6402" w:rsidP="00EB6402">
      <w:pPr>
        <w:spacing w:after="0" w:line="240" w:lineRule="auto"/>
        <w:jc w:val="center"/>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24-07-2013</w:t>
      </w:r>
    </w:p>
    <w:p w:rsidR="00EB6402" w:rsidRPr="000B4725" w:rsidRDefault="00EB6402" w:rsidP="00EB6402">
      <w:pPr>
        <w:spacing w:after="0" w:line="240" w:lineRule="auto"/>
        <w:jc w:val="center"/>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DIAN</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Dirección de Gestión Jurídica</w:t>
      </w:r>
    </w:p>
    <w:p w:rsidR="000B4725" w:rsidRDefault="000B4725" w:rsidP="00EB6402">
      <w:pPr>
        <w:spacing w:after="0" w:line="240" w:lineRule="auto"/>
        <w:jc w:val="both"/>
        <w:rPr>
          <w:rFonts w:ascii="Times New Roman" w:eastAsia="Times New Roman" w:hAnsi="Times New Roman" w:cs="Times New Roman"/>
          <w:sz w:val="24"/>
          <w:szCs w:val="24"/>
          <w:lang w:val="es-MX" w:eastAsia="es-CO"/>
        </w:rPr>
      </w:pP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Señor</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YEISSON RAMÍREZ</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Bogotá, D.C</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 xml:space="preserve">Tema </w:t>
      </w:r>
      <w:r w:rsidRPr="000B4725">
        <w:rPr>
          <w:rFonts w:ascii="Times New Roman" w:eastAsia="Times New Roman" w:hAnsi="Times New Roman" w:cs="Times New Roman"/>
          <w:sz w:val="24"/>
          <w:szCs w:val="24"/>
          <w:lang w:val="es-MX" w:eastAsia="es-CO"/>
        </w:rPr>
        <w:t>Retención en la fuente</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 xml:space="preserve">Descriptores </w:t>
      </w:r>
      <w:r w:rsidRPr="000B4725">
        <w:rPr>
          <w:rFonts w:ascii="Times New Roman" w:eastAsia="Times New Roman" w:hAnsi="Times New Roman" w:cs="Times New Roman"/>
          <w:sz w:val="24"/>
          <w:szCs w:val="24"/>
          <w:lang w:val="es-MX" w:eastAsia="es-CO"/>
        </w:rPr>
        <w:t>Retención en la fuente por rentas de trabajo – Empleados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Fuentes Formales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Estatuto Tributario, arts. </w:t>
      </w:r>
      <w:hyperlink r:id="rId5" w:tooltip="Estatuto Tributario CETA" w:history="1">
        <w:r w:rsidRPr="000B4725">
          <w:rPr>
            <w:rFonts w:ascii="Times New Roman" w:eastAsia="Times New Roman" w:hAnsi="Times New Roman" w:cs="Times New Roman"/>
            <w:sz w:val="24"/>
            <w:szCs w:val="24"/>
            <w:lang w:val="es-MX" w:eastAsia="es-CO"/>
          </w:rPr>
          <w:t>87-1</w:t>
        </w:r>
      </w:hyperlink>
      <w:r w:rsidRPr="000B4725">
        <w:rPr>
          <w:rFonts w:ascii="Times New Roman" w:eastAsia="Times New Roman" w:hAnsi="Times New Roman" w:cs="Times New Roman"/>
          <w:sz w:val="24"/>
          <w:szCs w:val="24"/>
          <w:lang w:val="es-MX" w:eastAsia="es-CO"/>
        </w:rPr>
        <w:t xml:space="preserve">, </w:t>
      </w:r>
      <w:hyperlink r:id="rId6" w:tooltip="Estatuto Tributario CETA" w:history="1">
        <w:r w:rsidRPr="000B4725">
          <w:rPr>
            <w:rFonts w:ascii="Times New Roman" w:eastAsia="Times New Roman" w:hAnsi="Times New Roman" w:cs="Times New Roman"/>
            <w:sz w:val="24"/>
            <w:szCs w:val="24"/>
            <w:lang w:val="es-MX" w:eastAsia="es-CO"/>
          </w:rPr>
          <w:t>330</w:t>
        </w:r>
      </w:hyperlink>
      <w:r w:rsidRPr="000B4725">
        <w:rPr>
          <w:rFonts w:ascii="Times New Roman" w:eastAsia="Times New Roman" w:hAnsi="Times New Roman" w:cs="Times New Roman"/>
          <w:sz w:val="24"/>
          <w:szCs w:val="24"/>
          <w:lang w:val="es-MX" w:eastAsia="es-CO"/>
        </w:rPr>
        <w:t xml:space="preserve">, </w:t>
      </w:r>
      <w:hyperlink r:id="rId7" w:tooltip="Estatuto Tributario CETA" w:history="1">
        <w:r w:rsidRPr="000B4725">
          <w:rPr>
            <w:rFonts w:ascii="Times New Roman" w:eastAsia="Times New Roman" w:hAnsi="Times New Roman" w:cs="Times New Roman"/>
            <w:sz w:val="24"/>
            <w:szCs w:val="24"/>
            <w:lang w:val="es-MX" w:eastAsia="es-CO"/>
          </w:rPr>
          <w:t>331</w:t>
        </w:r>
      </w:hyperlink>
      <w:r w:rsidRPr="000B4725">
        <w:rPr>
          <w:rFonts w:ascii="Times New Roman" w:eastAsia="Times New Roman" w:hAnsi="Times New Roman" w:cs="Times New Roman"/>
          <w:sz w:val="24"/>
          <w:szCs w:val="24"/>
          <w:lang w:val="es-MX" w:eastAsia="es-CO"/>
        </w:rPr>
        <w:t xml:space="preserve">, </w:t>
      </w:r>
      <w:hyperlink r:id="rId8" w:tooltip="Estatuto Tributario CETA" w:history="1">
        <w:r w:rsidRPr="000B4725">
          <w:rPr>
            <w:rFonts w:ascii="Times New Roman" w:eastAsia="Times New Roman" w:hAnsi="Times New Roman" w:cs="Times New Roman"/>
            <w:sz w:val="24"/>
            <w:szCs w:val="24"/>
            <w:lang w:val="es-MX" w:eastAsia="es-CO"/>
          </w:rPr>
          <w:t>332</w:t>
        </w:r>
      </w:hyperlink>
      <w:r w:rsidRPr="000B4725">
        <w:rPr>
          <w:rFonts w:ascii="Times New Roman" w:eastAsia="Times New Roman" w:hAnsi="Times New Roman" w:cs="Times New Roman"/>
          <w:sz w:val="24"/>
          <w:szCs w:val="24"/>
          <w:lang w:val="es-MX" w:eastAsia="es-CO"/>
        </w:rPr>
        <w:t xml:space="preserve">, </w:t>
      </w:r>
      <w:hyperlink r:id="rId9" w:tooltip="Estatuto Tributario CETA" w:history="1">
        <w:r w:rsidRPr="000B4725">
          <w:rPr>
            <w:rFonts w:ascii="Times New Roman" w:eastAsia="Times New Roman" w:hAnsi="Times New Roman" w:cs="Times New Roman"/>
            <w:sz w:val="24"/>
            <w:szCs w:val="24"/>
            <w:lang w:val="es-MX" w:eastAsia="es-CO"/>
          </w:rPr>
          <w:t>383</w:t>
        </w:r>
      </w:hyperlink>
      <w:r w:rsidRPr="000B4725">
        <w:rPr>
          <w:rFonts w:ascii="Times New Roman" w:eastAsia="Times New Roman" w:hAnsi="Times New Roman" w:cs="Times New Roman"/>
          <w:sz w:val="24"/>
          <w:szCs w:val="24"/>
          <w:lang w:val="es-MX" w:eastAsia="es-CO"/>
        </w:rPr>
        <w:t xml:space="preserve">, </w:t>
      </w:r>
      <w:hyperlink r:id="rId10" w:tooltip="Estatuto Tributario CETA" w:history="1">
        <w:r w:rsidRPr="000B4725">
          <w:rPr>
            <w:rFonts w:ascii="Times New Roman" w:eastAsia="Times New Roman" w:hAnsi="Times New Roman" w:cs="Times New Roman"/>
            <w:sz w:val="24"/>
            <w:szCs w:val="24"/>
            <w:lang w:val="es-MX" w:eastAsia="es-CO"/>
          </w:rPr>
          <w:t>384</w:t>
        </w:r>
      </w:hyperlink>
      <w:r w:rsidRPr="000B4725">
        <w:rPr>
          <w:rFonts w:ascii="Times New Roman" w:eastAsia="Times New Roman" w:hAnsi="Times New Roman" w:cs="Times New Roman"/>
          <w:sz w:val="24"/>
          <w:szCs w:val="24"/>
          <w:lang w:val="es-MX" w:eastAsia="es-CO"/>
        </w:rPr>
        <w:t xml:space="preserve"> y </w:t>
      </w:r>
      <w:hyperlink r:id="rId11" w:tooltip="Estatuto Tributario CETA" w:history="1">
        <w:r w:rsidRPr="000B4725">
          <w:rPr>
            <w:rFonts w:ascii="Times New Roman" w:eastAsia="Times New Roman" w:hAnsi="Times New Roman" w:cs="Times New Roman"/>
            <w:sz w:val="24"/>
            <w:szCs w:val="24"/>
            <w:lang w:val="es-MX" w:eastAsia="es-CO"/>
          </w:rPr>
          <w:t>387</w:t>
        </w:r>
      </w:hyperlink>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Decreto Reglamentario 3750 de 1986, art. 5</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Decreto Reglamentario 0099 de 2013, art. 3</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Cordial saludo, señor Ramírez:</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De conformidad con lo dispuesto en el artículo 19 del Decreto 4048 de 2008 y la Orden Administrativa No. 000006 de 2009, este Despacho está facultado para absolver las consultas que se formulen sobre la interpretación y aplicación de las normas tributarias, aduaneras y cambiarias del orden nacional, en lo de competencia de la Dirección de Impuestos y Aduanas Nacionales.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335E1B">
        <w:rPr>
          <w:rFonts w:ascii="Times New Roman" w:eastAsia="Times New Roman" w:hAnsi="Times New Roman" w:cs="Times New Roman"/>
          <w:b/>
          <w:sz w:val="24"/>
          <w:szCs w:val="24"/>
          <w:lang w:val="es-MX" w:eastAsia="es-CO"/>
        </w:rPr>
        <w:t>Solicita la reconsideración del oficio No. 022872 del 19 de abril de 2013, en el sentido de que se señale que para efectos de la retención en la fuente mínima de los empleados, solo se tenga en cuenta del plan educacional la parte que exceda del promedio que el empleador reconoce al común de sus trabajadores.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0B4725">
        <w:rPr>
          <w:rFonts w:ascii="Times New Roman" w:eastAsia="Times New Roman" w:hAnsi="Times New Roman" w:cs="Times New Roman"/>
          <w:sz w:val="24"/>
          <w:szCs w:val="24"/>
          <w:lang w:val="es-MX" w:eastAsia="es-CO"/>
        </w:rPr>
        <w:t xml:space="preserve">En el Oficio No. 022872 del 19 de abril de 2013, este Despacho concluyó con fundamento en el </w:t>
      </w:r>
      <w:hyperlink r:id="rId12"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del Estatuto Tributario que para la aplicación de la tabla de retención mínima para empleados, por disposición expresa del mismo artículo en concordancia con el artículo 3 del Decreto Reglamentario 0099 de 2013, en la depuración de la base de retención se restan los aportes obligatorios al sistema general de seguridad social, a saber: </w:t>
      </w:r>
      <w:r w:rsidRPr="00335E1B">
        <w:rPr>
          <w:rFonts w:ascii="Times New Roman" w:eastAsia="Times New Roman" w:hAnsi="Times New Roman" w:cs="Times New Roman"/>
          <w:b/>
          <w:sz w:val="24"/>
          <w:szCs w:val="24"/>
          <w:lang w:val="es-MX" w:eastAsia="es-CO"/>
        </w:rPr>
        <w:t>salud, pensiones y riesgos laborales a cargo del empleado.</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335E1B">
        <w:rPr>
          <w:rFonts w:ascii="Times New Roman" w:eastAsia="Times New Roman" w:hAnsi="Times New Roman" w:cs="Times New Roman"/>
          <w:b/>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A juicio del peticionario, el artículo 5 del Decreto Reglamentario 3750 de 1986 debe aplicarse para la depuración de la base sobre la cual se aplica la retención mínima de los empleados, en el entendido de que la Ley 1607 de 2012 no lo derogó ni expresa ni tácitamente y en ese sentido el análisis que hizo el Consejo de Estado en la Sentencia del 25 de noviembre de 2004 (Radicados 14295 y 14427), en la cual se reconoció su vigencia frente al artículo 15 de la Ley 788 de 2002, resultaría igualmente aplicable en el presente caso.</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lastRenderedPageBreak/>
        <w:t>Al respecto, el Despacho hace las siguientes consideraciones: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En el Concepto No. 039171 del 8 de julio de 2003, que fue objeto de acción de nulidad, la Oficina Jurídica de la U.A.E. Dirección de Impuestos y Aduanas Nacionales – DIAN, había concluido que la parte del artículo 5 del Decreto 3750 de 1986 relacionada con los pagos indirectos al trabajador no sometidos a retención, se entendía derogada con lo previsto en el artículo 15 de la Ley 788 de 2002 que adicionó el </w:t>
      </w:r>
      <w:hyperlink r:id="rId13" w:tooltip="Estatuto Tributario CETA" w:history="1">
        <w:r w:rsidRPr="000B4725">
          <w:rPr>
            <w:rFonts w:ascii="Times New Roman" w:eastAsia="Times New Roman" w:hAnsi="Times New Roman" w:cs="Times New Roman"/>
            <w:sz w:val="24"/>
            <w:szCs w:val="24"/>
            <w:lang w:val="es-MX" w:eastAsia="es-CO"/>
          </w:rPr>
          <w:t>artículo 87-1</w:t>
        </w:r>
      </w:hyperlink>
      <w:r w:rsidRPr="000B4725">
        <w:rPr>
          <w:rFonts w:ascii="Times New Roman" w:eastAsia="Times New Roman" w:hAnsi="Times New Roman" w:cs="Times New Roman"/>
          <w:sz w:val="24"/>
          <w:szCs w:val="24"/>
          <w:lang w:val="es-MX" w:eastAsia="es-CO"/>
        </w:rPr>
        <w:t xml:space="preserve"> al Estatuto Tributario.</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El artículo 5 del Decreto Reglamentario 3750 de 1986, establece:</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xml:space="preserve">“Artículo 5o. </w:t>
      </w:r>
      <w:r w:rsidRPr="000B4725">
        <w:rPr>
          <w:rFonts w:ascii="Times New Roman" w:eastAsia="Times New Roman" w:hAnsi="Times New Roman" w:cs="Times New Roman"/>
          <w:i/>
          <w:sz w:val="24"/>
          <w:szCs w:val="24"/>
          <w:lang w:val="es-MX" w:eastAsia="es-CO"/>
        </w:rPr>
        <w:t>Para efectos de lo previsto en los artículos anteriores, constituyen pagos indirectos hechos al trabajador, los pagos que efectúe el patrono a terceras personas, por la prestación de servicios o adquisición de bienes destinados al trabajador o a su cónyuge, o a personas vinculadas con él por parentesco dentro del cuarto grado de consanguinidad, segundo de afinidad o único civil, siempre y cuando no constituyan ingreso propio en cabeza de las personas vinculadas al trabajador y no se trate de las cuotas que por Ley deban aportar los patronos a entidades tales como el Instituto de Seguros Sociales, el Instituto Colombiano de Bienestar Familiar, el Servicio Nacional de Aprendizaje y las Cajas de Compensación Familiar.</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 xml:space="preserve">Se excluyen los pagos que el patrono efectúe por concepto de educación, salud, y alimentación, en la parte que no exceda del valor promedio que se reconoce a la generalidad de los trabajadores de la respectiva empresa por tales conceptos, y siempre y cuando correspondan a programas permanentes de la misma para con los trabajadores.” </w:t>
      </w:r>
      <w:r w:rsidRPr="000B4725">
        <w:rPr>
          <w:rFonts w:ascii="Times New Roman" w:eastAsia="Times New Roman" w:hAnsi="Times New Roman" w:cs="Times New Roman"/>
          <w:sz w:val="24"/>
          <w:szCs w:val="24"/>
          <w:lang w:val="es-MX" w:eastAsia="es-CO"/>
        </w:rPr>
        <w:t xml:space="preserve">(La expresión “alimentación” fue derogada por el </w:t>
      </w:r>
      <w:hyperlink r:id="rId14" w:tooltip="Estatuto Tributario CETA" w:history="1">
        <w:r w:rsidRPr="000B4725">
          <w:rPr>
            <w:rFonts w:ascii="Times New Roman" w:eastAsia="Times New Roman" w:hAnsi="Times New Roman" w:cs="Times New Roman"/>
            <w:sz w:val="24"/>
            <w:szCs w:val="24"/>
            <w:lang w:val="es-MX" w:eastAsia="es-CO"/>
          </w:rPr>
          <w:t>artículo 387-1</w:t>
        </w:r>
      </w:hyperlink>
      <w:r w:rsidRPr="000B4725">
        <w:rPr>
          <w:rFonts w:ascii="Times New Roman" w:eastAsia="Times New Roman" w:hAnsi="Times New Roman" w:cs="Times New Roman"/>
          <w:sz w:val="24"/>
          <w:szCs w:val="24"/>
          <w:lang w:val="es-MX" w:eastAsia="es-CO"/>
        </w:rPr>
        <w:t xml:space="preserve"> del Estatuto Tributario, según Sentencia del Consejo de Estado radicados 14295 y 14427)</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A su turno el </w:t>
      </w:r>
      <w:hyperlink r:id="rId15" w:tooltip="Estatuto Tributario CETA" w:history="1">
        <w:r w:rsidRPr="000B4725">
          <w:rPr>
            <w:rFonts w:ascii="Times New Roman" w:eastAsia="Times New Roman" w:hAnsi="Times New Roman" w:cs="Times New Roman"/>
            <w:sz w:val="24"/>
            <w:szCs w:val="24"/>
            <w:lang w:val="es-MX" w:eastAsia="es-CO"/>
          </w:rPr>
          <w:t>artículo 87-1</w:t>
        </w:r>
      </w:hyperlink>
      <w:r w:rsidRPr="000B4725">
        <w:rPr>
          <w:rFonts w:ascii="Times New Roman" w:eastAsia="Times New Roman" w:hAnsi="Times New Roman" w:cs="Times New Roman"/>
          <w:sz w:val="24"/>
          <w:szCs w:val="24"/>
          <w:lang w:val="es-MX" w:eastAsia="es-CO"/>
        </w:rPr>
        <w:t xml:space="preserve"> del Estatuto Tributario, adicionado por el artículo 15 de la Ley 788 de 2002, establece:</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335E1B" w:rsidRDefault="00EB6402" w:rsidP="00EB6402">
      <w:pPr>
        <w:spacing w:after="0" w:line="240" w:lineRule="auto"/>
        <w:ind w:left="284"/>
        <w:jc w:val="both"/>
        <w:rPr>
          <w:rFonts w:ascii="Times New Roman" w:eastAsia="Times New Roman" w:hAnsi="Times New Roman" w:cs="Times New Roman"/>
          <w:b/>
          <w:sz w:val="24"/>
          <w:szCs w:val="24"/>
          <w:lang w:eastAsia="es-CO"/>
        </w:rPr>
      </w:pPr>
      <w:r w:rsidRPr="000B4725">
        <w:rPr>
          <w:rFonts w:ascii="Times New Roman" w:eastAsia="Times New Roman" w:hAnsi="Times New Roman" w:cs="Times New Roman"/>
          <w:b/>
          <w:i/>
          <w:sz w:val="24"/>
          <w:szCs w:val="24"/>
          <w:lang w:val="es-MX" w:eastAsia="es-CO"/>
        </w:rPr>
        <w:t>“</w:t>
      </w:r>
      <w:hyperlink r:id="rId16" w:tooltip="Estatuto Tributario CETA" w:history="1">
        <w:r w:rsidRPr="000B4725">
          <w:rPr>
            <w:rFonts w:ascii="Times New Roman" w:eastAsia="Times New Roman" w:hAnsi="Times New Roman" w:cs="Times New Roman"/>
            <w:b/>
            <w:i/>
            <w:sz w:val="24"/>
            <w:szCs w:val="24"/>
            <w:lang w:val="es-MX" w:eastAsia="es-CO"/>
          </w:rPr>
          <w:t>Artículo 87-1</w:t>
        </w:r>
      </w:hyperlink>
      <w:r w:rsidRPr="000B4725">
        <w:rPr>
          <w:rFonts w:ascii="Times New Roman" w:eastAsia="Times New Roman" w:hAnsi="Times New Roman" w:cs="Times New Roman"/>
          <w:b/>
          <w:i/>
          <w:sz w:val="24"/>
          <w:szCs w:val="24"/>
          <w:lang w:val="es-MX" w:eastAsia="es-CO"/>
        </w:rPr>
        <w:t xml:space="preserve"> . Otros gastos originados en la relación laboral no deducibles.” </w:t>
      </w:r>
      <w:r w:rsidRPr="000B4725">
        <w:rPr>
          <w:rFonts w:ascii="Times New Roman" w:eastAsia="Times New Roman" w:hAnsi="Times New Roman" w:cs="Times New Roman"/>
          <w:i/>
          <w:sz w:val="24"/>
          <w:szCs w:val="24"/>
          <w:lang w:val="es-MX" w:eastAsia="es-CO"/>
        </w:rPr>
        <w:t>Los contribuyentes no podrán solicitar como costo o deducción, los pagos cuya finalidad sea remunerar de alguna forma y que no hayan formado parte de la base de retención en la fuente por ingresos laborales</w:t>
      </w:r>
      <w:r w:rsidRPr="00335E1B">
        <w:rPr>
          <w:rFonts w:ascii="Times New Roman" w:eastAsia="Times New Roman" w:hAnsi="Times New Roman" w:cs="Times New Roman"/>
          <w:b/>
          <w:i/>
          <w:sz w:val="24"/>
          <w:szCs w:val="24"/>
          <w:lang w:val="es-MX" w:eastAsia="es-CO"/>
        </w:rPr>
        <w:t xml:space="preserve">. </w:t>
      </w:r>
      <w:proofErr w:type="spellStart"/>
      <w:r w:rsidRPr="00335E1B">
        <w:rPr>
          <w:rFonts w:ascii="Times New Roman" w:eastAsia="Times New Roman" w:hAnsi="Times New Roman" w:cs="Times New Roman"/>
          <w:b/>
          <w:i/>
          <w:sz w:val="24"/>
          <w:szCs w:val="24"/>
          <w:lang w:val="es-MX" w:eastAsia="es-CO"/>
        </w:rPr>
        <w:t>Exceptúanse</w:t>
      </w:r>
      <w:proofErr w:type="spellEnd"/>
      <w:r w:rsidRPr="00335E1B">
        <w:rPr>
          <w:rFonts w:ascii="Times New Roman" w:eastAsia="Times New Roman" w:hAnsi="Times New Roman" w:cs="Times New Roman"/>
          <w:b/>
          <w:i/>
          <w:sz w:val="24"/>
          <w:szCs w:val="24"/>
          <w:lang w:val="es-MX" w:eastAsia="es-CO"/>
        </w:rPr>
        <w:t xml:space="preserve"> de la anterior disposición los pagos no constitutivos de ingreso gravable o exentos para el trabajador, de conformidad con las normas tributarias incluidos los previstos en el </w:t>
      </w:r>
      <w:hyperlink r:id="rId17" w:tooltip="Estatuto Tributario CETA" w:history="1">
        <w:r w:rsidRPr="00335E1B">
          <w:rPr>
            <w:rFonts w:ascii="Times New Roman" w:eastAsia="Times New Roman" w:hAnsi="Times New Roman" w:cs="Times New Roman"/>
            <w:b/>
            <w:i/>
            <w:sz w:val="24"/>
            <w:szCs w:val="24"/>
            <w:lang w:val="es-MX" w:eastAsia="es-CO"/>
          </w:rPr>
          <w:t>artículo 387</w:t>
        </w:r>
      </w:hyperlink>
      <w:r w:rsidRPr="00335E1B">
        <w:rPr>
          <w:rFonts w:ascii="Times New Roman" w:eastAsia="Times New Roman" w:hAnsi="Times New Roman" w:cs="Times New Roman"/>
          <w:b/>
          <w:i/>
          <w:sz w:val="24"/>
          <w:szCs w:val="24"/>
          <w:lang w:val="es-MX" w:eastAsia="es-CO"/>
        </w:rPr>
        <w:t xml:space="preserve"> del Estatuto Tributario.”</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335E1B">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Ahora bien, la Sección Cuarta del Honorable Consejo de Estado, mediante Sentencia del 25 de noviembre de 2004 (Radicados 14295 y 14427, C.P. Dra. Ligia López Díaz), declaró la nulidad del Concepto No. 039171 del 8 de julio de 2003, al concluir que el artículo 5 del Decreto Reglamentario 3750 de 1986 no fue derogado, dado que el artículo 15 de la Ley 788 de 2002 no derogó ni modificó las normas de retención en la fuente reglamentadas aquel, con base en las siguientes consideraciones: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1. La Ley 788 de 2002 no derogó expresamente el artículo 5 del Decreto Reglamentario 3750 de 1986.</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lastRenderedPageBreak/>
        <w:t>2. El artículo 15 de la Ley 788 de 2002 no regula íntegramente el tema desarrollado por el artículo 5 del Decreto 3750 de 1986, porque no pretendió abarcar completamente la materia de retención en la fuente por pagos al trabajador, ni fue esta la intención del legislador, por lo tanto no se configura la derogatoria orgánica.</w:t>
      </w:r>
    </w:p>
    <w:p w:rsidR="00335E1B" w:rsidRDefault="00335E1B" w:rsidP="00EB6402">
      <w:pPr>
        <w:spacing w:after="0" w:line="240" w:lineRule="auto"/>
        <w:jc w:val="both"/>
        <w:rPr>
          <w:rFonts w:ascii="Times New Roman" w:eastAsia="Times New Roman" w:hAnsi="Times New Roman" w:cs="Times New Roman"/>
          <w:sz w:val="24"/>
          <w:szCs w:val="24"/>
          <w:lang w:val="es-MX" w:eastAsia="es-CO"/>
        </w:rPr>
      </w:pP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3. Las disposiciones contenidas en el artículo 15 de la Ley 788 de 2002 no son incompatibles o inconciliables con el contenido del artículo 5 del Decreto 3750 de 1986, presupuesto necesario para que se dé el fenómeno de la derogatoria tácita, como se explica a continuación:</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0B4725">
        <w:rPr>
          <w:rFonts w:ascii="Times New Roman" w:eastAsia="Times New Roman" w:hAnsi="Times New Roman" w:cs="Times New Roman"/>
          <w:sz w:val="24"/>
          <w:szCs w:val="24"/>
          <w:lang w:val="es-MX" w:eastAsia="es-CO"/>
        </w:rPr>
        <w:t xml:space="preserve">- El artículo 5 del Decreto 3750 de 1986 es reglamentario de los artículos 6 a 8 de la Ley 75 de 1986, compilados en los artículos 383 a 388 del Estatuto Tributario, sobre retención en la fuente por ingresos laborales, mientras que el artículo 15 de la Ley 788 de 2002 adicionó un artículo nuevo, el </w:t>
      </w:r>
      <w:hyperlink r:id="rId18" w:tooltip="Estatuto Tributario CETA" w:history="1">
        <w:r w:rsidRPr="000B4725">
          <w:rPr>
            <w:rFonts w:ascii="Times New Roman" w:eastAsia="Times New Roman" w:hAnsi="Times New Roman" w:cs="Times New Roman"/>
            <w:sz w:val="24"/>
            <w:szCs w:val="24"/>
            <w:lang w:val="es-MX" w:eastAsia="es-CO"/>
          </w:rPr>
          <w:t>87-1</w:t>
        </w:r>
      </w:hyperlink>
      <w:r w:rsidRPr="000B4725">
        <w:rPr>
          <w:rFonts w:ascii="Times New Roman" w:eastAsia="Times New Roman" w:hAnsi="Times New Roman" w:cs="Times New Roman"/>
          <w:sz w:val="24"/>
          <w:szCs w:val="24"/>
          <w:lang w:val="es-MX" w:eastAsia="es-CO"/>
        </w:rPr>
        <w:t xml:space="preserve"> del Estatuto Tributario, el cual se ubica en el “Capítulo II – Costos” del Título I “Renta” del Libro Primero “Impuesto sobre la Renta y Complementario”, dentro del aparte titulado “Limitaciones específicas a la solicitud de costos</w:t>
      </w:r>
      <w:r w:rsidRPr="00335E1B">
        <w:rPr>
          <w:rFonts w:ascii="Times New Roman" w:eastAsia="Times New Roman" w:hAnsi="Times New Roman" w:cs="Times New Roman"/>
          <w:b/>
          <w:sz w:val="24"/>
          <w:szCs w:val="24"/>
          <w:lang w:val="es-MX" w:eastAsia="es-CO"/>
        </w:rPr>
        <w:t xml:space="preserve">” y por lo tanto, el </w:t>
      </w:r>
      <w:hyperlink r:id="rId19" w:tooltip="Estatuto Tributario CETA" w:history="1">
        <w:r w:rsidRPr="00335E1B">
          <w:rPr>
            <w:rFonts w:ascii="Times New Roman" w:eastAsia="Times New Roman" w:hAnsi="Times New Roman" w:cs="Times New Roman"/>
            <w:b/>
            <w:sz w:val="24"/>
            <w:szCs w:val="24"/>
            <w:lang w:val="es-MX" w:eastAsia="es-CO"/>
          </w:rPr>
          <w:t>artículo 87-1</w:t>
        </w:r>
      </w:hyperlink>
      <w:r w:rsidRPr="00335E1B">
        <w:rPr>
          <w:rFonts w:ascii="Times New Roman" w:eastAsia="Times New Roman" w:hAnsi="Times New Roman" w:cs="Times New Roman"/>
          <w:b/>
          <w:sz w:val="24"/>
          <w:szCs w:val="24"/>
          <w:lang w:val="es-MX" w:eastAsia="es-CO"/>
        </w:rPr>
        <w:t xml:space="preserve"> no hizo modificación alguna a las normas contenidas en los artículo 383 a 388 del Estatuto Tributario.</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El artículo 15 de la Ley 788 de 2002 tampoco cambió el tratamiento existente en materia de retención en la fuente a los trabajadores.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La temática del artículo 15 de la Ley 788 de 2002 es diferente, pues la modificación que hizo al ordenamiento jurídico tributario fue establecer una limitación para los empleadores, respecto de los costos y gastos por pagos originados en la relación laboral, señalando que no es posible la deducción cuando no se practique retención en la fuente, siempre y cuando estén sujetos a ella.</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En contraste, en el caso que nos ocupa, la Ley 1607 de 2012, mediante sus artículos 13, 14 y 15, entre otros, introdujo modificaciones sustanciales y expresas al régimen de retención en la fuente en el contexto de rentas de trabajo. En efecto, los artículos 13 y 15 de la Ley 1607 de 2012, modificaron los artículos </w:t>
      </w:r>
      <w:hyperlink r:id="rId20" w:tooltip="Estatuto Tributario CETA" w:history="1">
        <w:r w:rsidRPr="000B4725">
          <w:rPr>
            <w:rFonts w:ascii="Times New Roman" w:eastAsia="Times New Roman" w:hAnsi="Times New Roman" w:cs="Times New Roman"/>
            <w:sz w:val="24"/>
            <w:szCs w:val="24"/>
            <w:lang w:val="es-MX" w:eastAsia="es-CO"/>
          </w:rPr>
          <w:t>383</w:t>
        </w:r>
      </w:hyperlink>
      <w:r w:rsidRPr="000B4725">
        <w:rPr>
          <w:rFonts w:ascii="Times New Roman" w:eastAsia="Times New Roman" w:hAnsi="Times New Roman" w:cs="Times New Roman"/>
          <w:sz w:val="24"/>
          <w:szCs w:val="24"/>
          <w:lang w:val="es-MX" w:eastAsia="es-CO"/>
        </w:rPr>
        <w:t xml:space="preserve"> y </w:t>
      </w:r>
      <w:hyperlink r:id="rId21" w:tooltip="Estatuto Tributario CETA" w:history="1">
        <w:r w:rsidRPr="000B4725">
          <w:rPr>
            <w:rFonts w:ascii="Times New Roman" w:eastAsia="Times New Roman" w:hAnsi="Times New Roman" w:cs="Times New Roman"/>
            <w:sz w:val="24"/>
            <w:szCs w:val="24"/>
            <w:lang w:val="es-MX" w:eastAsia="es-CO"/>
          </w:rPr>
          <w:t>387</w:t>
        </w:r>
      </w:hyperlink>
      <w:r w:rsidRPr="000B4725">
        <w:rPr>
          <w:rFonts w:ascii="Times New Roman" w:eastAsia="Times New Roman" w:hAnsi="Times New Roman" w:cs="Times New Roman"/>
          <w:sz w:val="24"/>
          <w:szCs w:val="24"/>
          <w:lang w:val="es-MX" w:eastAsia="es-CO"/>
        </w:rPr>
        <w:t xml:space="preserve"> del Estatuto Tributario; de manera que a partir del 1 de enero de 2013, sus disposiciones son aplicables a todas las personas naturales residentes en el país pertenecientes a la categoría tributaria de empleados.</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Por su parte, el artículo 14 de la Ley 1607 de 2012, adicionó el </w:t>
      </w:r>
      <w:hyperlink r:id="rId22"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al Título III “Conceptos sujetos a retención” del Libro Segundo “Retención en la Fuente” del Estatuto Tributario, para establecer una tabla de retención mínima para las personas naturales pertenecientes a la categoría de empleados, aplicable a partir del 1 de abril de 2013:</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w:t>
      </w:r>
      <w:hyperlink r:id="rId23" w:tooltip="Estatuto Tributario CETA" w:history="1">
        <w:r w:rsidRPr="000B4725">
          <w:rPr>
            <w:rFonts w:ascii="Times New Roman" w:eastAsia="Times New Roman" w:hAnsi="Times New Roman" w:cs="Times New Roman"/>
            <w:b/>
            <w:i/>
            <w:sz w:val="24"/>
            <w:szCs w:val="24"/>
            <w:lang w:val="es-MX" w:eastAsia="es-CO"/>
          </w:rPr>
          <w:t>Artículo 384</w:t>
        </w:r>
      </w:hyperlink>
      <w:r w:rsidRPr="000B4725">
        <w:rPr>
          <w:rFonts w:ascii="Times New Roman" w:eastAsia="Times New Roman" w:hAnsi="Times New Roman" w:cs="Times New Roman"/>
          <w:b/>
          <w:i/>
          <w:sz w:val="24"/>
          <w:szCs w:val="24"/>
          <w:lang w:val="es-MX" w:eastAsia="es-CO"/>
        </w:rPr>
        <w:t xml:space="preserve"> . Tarifa mínima de retención en la fuente para empleados. </w:t>
      </w:r>
      <w:r w:rsidRPr="000B4725">
        <w:rPr>
          <w:rFonts w:ascii="Times New Roman" w:eastAsia="Times New Roman" w:hAnsi="Times New Roman" w:cs="Times New Roman"/>
          <w:i/>
          <w:sz w:val="24"/>
          <w:szCs w:val="24"/>
          <w:u w:val="single"/>
          <w:lang w:val="es-MX" w:eastAsia="es-CO"/>
        </w:rPr>
        <w:t xml:space="preserve">No obstante el cálculo de retención en la fuente efectuado de conformidad con lo dispuesto en el </w:t>
      </w:r>
      <w:hyperlink r:id="rId24" w:tooltip="Estatuto Tributario CETA" w:history="1">
        <w:r w:rsidRPr="000B4725">
          <w:rPr>
            <w:rFonts w:ascii="Times New Roman" w:eastAsia="Times New Roman" w:hAnsi="Times New Roman" w:cs="Times New Roman"/>
            <w:i/>
            <w:sz w:val="24"/>
            <w:szCs w:val="24"/>
            <w:lang w:val="es-MX" w:eastAsia="es-CO"/>
          </w:rPr>
          <w:t>artículo 383</w:t>
        </w:r>
      </w:hyperlink>
      <w:r w:rsidRPr="000B4725">
        <w:rPr>
          <w:rFonts w:ascii="Times New Roman" w:eastAsia="Times New Roman" w:hAnsi="Times New Roman" w:cs="Times New Roman"/>
          <w:i/>
          <w:sz w:val="24"/>
          <w:szCs w:val="24"/>
          <w:u w:val="single"/>
          <w:lang w:val="es-MX" w:eastAsia="es-CO"/>
        </w:rPr>
        <w:t xml:space="preserve"> de este Estatuto</w:t>
      </w:r>
      <w:r w:rsidRPr="000B4725">
        <w:rPr>
          <w:rFonts w:ascii="Times New Roman" w:eastAsia="Times New Roman" w:hAnsi="Times New Roman" w:cs="Times New Roman"/>
          <w:i/>
          <w:sz w:val="24"/>
          <w:szCs w:val="24"/>
          <w:lang w:val="es-MX" w:eastAsia="es-CO"/>
        </w:rPr>
        <w:t xml:space="preserve">, los pagos mensuales o </w:t>
      </w:r>
      <w:proofErr w:type="spellStart"/>
      <w:r w:rsidRPr="000B4725">
        <w:rPr>
          <w:rFonts w:ascii="Times New Roman" w:eastAsia="Times New Roman" w:hAnsi="Times New Roman" w:cs="Times New Roman"/>
          <w:i/>
          <w:sz w:val="24"/>
          <w:szCs w:val="24"/>
          <w:lang w:val="es-MX" w:eastAsia="es-CO"/>
        </w:rPr>
        <w:t>mensualizados</w:t>
      </w:r>
      <w:proofErr w:type="spellEnd"/>
      <w:r w:rsidRPr="000B4725">
        <w:rPr>
          <w:rFonts w:ascii="Times New Roman" w:eastAsia="Times New Roman" w:hAnsi="Times New Roman" w:cs="Times New Roman"/>
          <w:i/>
          <w:sz w:val="24"/>
          <w:szCs w:val="24"/>
          <w:lang w:val="es-MX" w:eastAsia="es-CO"/>
        </w:rPr>
        <w:t xml:space="preserve"> (PM) efectuados por las personas naturales o jurídicas, las sociedades de hecho, las comunidades organizadas y las sucesiones ilíquidas, </w:t>
      </w:r>
      <w:r w:rsidRPr="000B4725">
        <w:rPr>
          <w:rFonts w:ascii="Times New Roman" w:eastAsia="Times New Roman" w:hAnsi="Times New Roman" w:cs="Times New Roman"/>
          <w:i/>
          <w:sz w:val="24"/>
          <w:szCs w:val="24"/>
          <w:u w:val="single"/>
          <w:lang w:val="es-MX" w:eastAsia="es-CO"/>
        </w:rPr>
        <w:t xml:space="preserve">a las personas naturales pertenecientes a la categoría de empleados, será como mínimo la que resulte de aplicar la siguiente tabla a </w:t>
      </w:r>
      <w:r w:rsidRPr="000B4725">
        <w:rPr>
          <w:rFonts w:ascii="Times New Roman" w:eastAsia="Times New Roman" w:hAnsi="Times New Roman" w:cs="Times New Roman"/>
          <w:i/>
          <w:sz w:val="24"/>
          <w:szCs w:val="24"/>
          <w:u w:val="single"/>
          <w:lang w:val="es-MX" w:eastAsia="es-CO"/>
        </w:rPr>
        <w:lastRenderedPageBreak/>
        <w:t>la base de retención en la fuente determinada al restar los aportes al sistema general de seguridad social a cargo del empleado del total del pago mensual o abono en cuenta</w:t>
      </w:r>
      <w:r w:rsidRPr="000B4725">
        <w:rPr>
          <w:rFonts w:ascii="Times New Roman" w:eastAsia="Times New Roman" w:hAnsi="Times New Roman" w:cs="Times New Roman"/>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 xml:space="preserve">...” </w:t>
      </w:r>
      <w:r w:rsidRPr="000B4725">
        <w:rPr>
          <w:rFonts w:ascii="Times New Roman" w:eastAsia="Times New Roman" w:hAnsi="Times New Roman" w:cs="Times New Roman"/>
          <w:sz w:val="24"/>
          <w:szCs w:val="24"/>
          <w:lang w:val="es-MX" w:eastAsia="es-CO"/>
        </w:rPr>
        <w:t>(</w:t>
      </w:r>
      <w:proofErr w:type="gramStart"/>
      <w:r w:rsidRPr="000B4725">
        <w:rPr>
          <w:rFonts w:ascii="Times New Roman" w:eastAsia="Times New Roman" w:hAnsi="Times New Roman" w:cs="Times New Roman"/>
          <w:sz w:val="24"/>
          <w:szCs w:val="24"/>
          <w:lang w:val="es-MX" w:eastAsia="es-CO"/>
        </w:rPr>
        <w:t>subrayado</w:t>
      </w:r>
      <w:proofErr w:type="gramEnd"/>
      <w:r w:rsidRPr="000B4725">
        <w:rPr>
          <w:rFonts w:ascii="Times New Roman" w:eastAsia="Times New Roman" w:hAnsi="Times New Roman" w:cs="Times New Roman"/>
          <w:sz w:val="24"/>
          <w:szCs w:val="24"/>
          <w:lang w:val="es-MX" w:eastAsia="es-CO"/>
        </w:rPr>
        <w:t xml:space="preserve"> fuera de texto).</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Pese a que el texto del citado </w:t>
      </w:r>
      <w:hyperlink r:id="rId25"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es suficientemente claro, atendiendo la regla del inciso segundo del artículo 27 del Código Civil, para disipar cualquier duda es oportuno revisar los antecedentes del artículo en cuestión. Para el efecto transcribimos los apartes pertinentes de la justificación al pliego de modificaciones en la Ponencia para Primero y Segundo Debate en la Cámara de Representantes al Proyecto de Ley número 166 de 2012 Cámara y 134 de 2012 Senado:</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“PONENCIA PARA PRIMER DEBATE AL PROYECTO DE LEY NÚMERO 166 DE 2012 CÁMARA Y 134 DE 2012 SENADO</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proofErr w:type="gramStart"/>
      <w:r w:rsidRPr="000B4725">
        <w:rPr>
          <w:rFonts w:ascii="Times New Roman" w:eastAsia="Times New Roman" w:hAnsi="Times New Roman" w:cs="Times New Roman"/>
          <w:i/>
          <w:sz w:val="24"/>
          <w:szCs w:val="24"/>
          <w:lang w:val="es-MX" w:eastAsia="es-CO"/>
        </w:rPr>
        <w:t>por</w:t>
      </w:r>
      <w:proofErr w:type="gramEnd"/>
      <w:r w:rsidRPr="000B4725">
        <w:rPr>
          <w:rFonts w:ascii="Times New Roman" w:eastAsia="Times New Roman" w:hAnsi="Times New Roman" w:cs="Times New Roman"/>
          <w:i/>
          <w:sz w:val="24"/>
          <w:szCs w:val="24"/>
          <w:lang w:val="es-MX" w:eastAsia="es-CO"/>
        </w:rPr>
        <w:t xml:space="preserve"> la cual se expiden normas en materia tributaria y se dictan otras disposiciones.</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2. JUSTIFICACIÓN AL PLIEGO DE MODIFICACIONES</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u w:val="single"/>
          <w:lang w:val="es-MX" w:eastAsia="es-CO"/>
        </w:rPr>
        <w:t>“Tarifas del Imán</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u w:val="single"/>
          <w:lang w:val="es-MX" w:eastAsia="es-CO"/>
        </w:rPr>
        <w:t>Igualmente se incluyen dos nuevos artículos que contienen una tabla de retención en la fuente mínima para los empleados</w:t>
      </w:r>
      <w:r w:rsidRPr="000B4725">
        <w:rPr>
          <w:rFonts w:ascii="Times New Roman" w:eastAsia="Times New Roman" w:hAnsi="Times New Roman" w:cs="Times New Roman"/>
          <w:i/>
          <w:sz w:val="24"/>
          <w:szCs w:val="24"/>
          <w:lang w:val="es-MX" w:eastAsia="es-CO"/>
        </w:rPr>
        <w:t xml:space="preserve"> y los trabajadores por cuenta propia, </w:t>
      </w:r>
      <w:r w:rsidRPr="000B4725">
        <w:rPr>
          <w:rFonts w:ascii="Times New Roman" w:eastAsia="Times New Roman" w:hAnsi="Times New Roman" w:cs="Times New Roman"/>
          <w:i/>
          <w:sz w:val="24"/>
          <w:szCs w:val="24"/>
          <w:u w:val="single"/>
          <w:lang w:val="es-MX" w:eastAsia="es-CO"/>
        </w:rPr>
        <w:t>la cual asegura un piso de retención en relación con el cálculo en la fuente del régimen ordinario del Impuesto sobre la Renta</w:t>
      </w:r>
      <w:r w:rsidRPr="000B4725">
        <w:rPr>
          <w:rFonts w:ascii="Times New Roman" w:eastAsia="Times New Roman" w:hAnsi="Times New Roman" w:cs="Times New Roman"/>
          <w:i/>
          <w:sz w:val="24"/>
          <w:szCs w:val="24"/>
          <w:lang w:val="es-MX" w:eastAsia="es-CO"/>
        </w:rPr>
        <w:t xml:space="preserve">. Esto permite que el Imán se recaude a lo largo del período gravable y evita que los contribuyentes del Imán efectúen un solo pago total del Imán, lo cual podría afectar la caja y el efectivo disponible tanto de los trabajadores empleados como de los por cuenta y riesgo propio.” </w:t>
      </w:r>
      <w:r w:rsidRPr="000B4725">
        <w:rPr>
          <w:rFonts w:ascii="Times New Roman" w:eastAsia="Times New Roman" w:hAnsi="Times New Roman" w:cs="Times New Roman"/>
          <w:sz w:val="24"/>
          <w:szCs w:val="24"/>
          <w:lang w:val="es-MX" w:eastAsia="es-CO"/>
        </w:rPr>
        <w:t>(Gaceta del Congreso No. 829 del 22 de noviembre de 2012, pág. 6). (</w:t>
      </w:r>
      <w:proofErr w:type="gramStart"/>
      <w:r w:rsidRPr="000B4725">
        <w:rPr>
          <w:rFonts w:ascii="Times New Roman" w:eastAsia="Times New Roman" w:hAnsi="Times New Roman" w:cs="Times New Roman"/>
          <w:sz w:val="24"/>
          <w:szCs w:val="24"/>
          <w:lang w:val="es-MX" w:eastAsia="es-CO"/>
        </w:rPr>
        <w:t>subrayado</w:t>
      </w:r>
      <w:proofErr w:type="gramEnd"/>
      <w:r w:rsidRPr="000B4725">
        <w:rPr>
          <w:rFonts w:ascii="Times New Roman" w:eastAsia="Times New Roman" w:hAnsi="Times New Roman" w:cs="Times New Roman"/>
          <w:sz w:val="24"/>
          <w:szCs w:val="24"/>
          <w:lang w:val="es-MX" w:eastAsia="es-CO"/>
        </w:rPr>
        <w:t xml:space="preserve"> fuera de texto).</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“INFORME DE PONENCIA PARA SEGUNDO DEBATE EN LA PLENARIA DE CÁMARA DE REPRESENTANTES AL PROYECTO DE LEY NÚMERO 166 DE 2012 CÁMARA, 134 DE 2012 SENADO</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proofErr w:type="gramStart"/>
      <w:r w:rsidRPr="000B4725">
        <w:rPr>
          <w:rFonts w:ascii="Times New Roman" w:eastAsia="Times New Roman" w:hAnsi="Times New Roman" w:cs="Times New Roman"/>
          <w:i/>
          <w:sz w:val="24"/>
          <w:szCs w:val="24"/>
          <w:lang w:val="es-MX" w:eastAsia="es-CO"/>
        </w:rPr>
        <w:t>por</w:t>
      </w:r>
      <w:proofErr w:type="gramEnd"/>
      <w:r w:rsidRPr="000B4725">
        <w:rPr>
          <w:rFonts w:ascii="Times New Roman" w:eastAsia="Times New Roman" w:hAnsi="Times New Roman" w:cs="Times New Roman"/>
          <w:i/>
          <w:sz w:val="24"/>
          <w:szCs w:val="24"/>
          <w:lang w:val="es-MX" w:eastAsia="es-CO"/>
        </w:rPr>
        <w:t xml:space="preserve"> la cual se expiden normas en materia tributaria y se dictan otras disposiciones.</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Justificación Modificaciones</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“Impuesto Mínimo Alternativo Nacional (IMAN), (artículo 10)</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i/>
          <w:sz w:val="24"/>
          <w:szCs w:val="24"/>
          <w:lang w:val="es-MX" w:eastAsia="es-CO"/>
        </w:rPr>
        <w:t> </w:t>
      </w:r>
    </w:p>
    <w:p w:rsidR="00EB6402" w:rsidRPr="000B4725" w:rsidRDefault="00EB6402" w:rsidP="00EB6402">
      <w:pPr>
        <w:spacing w:after="0" w:line="240" w:lineRule="auto"/>
        <w:ind w:left="284"/>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i/>
          <w:sz w:val="24"/>
          <w:szCs w:val="24"/>
          <w:u w:val="single"/>
          <w:lang w:val="es-MX" w:eastAsia="es-CO"/>
        </w:rPr>
        <w:t xml:space="preserve">El </w:t>
      </w:r>
      <w:hyperlink r:id="rId26" w:tooltip="Estatuto Tributario CETA" w:history="1">
        <w:r w:rsidRPr="000B4725">
          <w:rPr>
            <w:rFonts w:ascii="Times New Roman" w:eastAsia="Times New Roman" w:hAnsi="Times New Roman" w:cs="Times New Roman"/>
            <w:i/>
            <w:sz w:val="24"/>
            <w:szCs w:val="24"/>
            <w:lang w:val="es-MX" w:eastAsia="es-CO"/>
          </w:rPr>
          <w:t>artículo 384</w:t>
        </w:r>
      </w:hyperlink>
      <w:r w:rsidRPr="000B4725">
        <w:rPr>
          <w:rFonts w:ascii="Times New Roman" w:eastAsia="Times New Roman" w:hAnsi="Times New Roman" w:cs="Times New Roman"/>
          <w:i/>
          <w:sz w:val="24"/>
          <w:szCs w:val="24"/>
          <w:u w:val="single"/>
          <w:lang w:val="es-MX" w:eastAsia="es-CO"/>
        </w:rPr>
        <w:t xml:space="preserve"> se modifica en su título y en el contenido para hacer claridad sobre la aplicación general a todos los trabajadores empleados de la tarifa mínima de retención </w:t>
      </w:r>
      <w:r w:rsidRPr="000B4725">
        <w:rPr>
          <w:rFonts w:ascii="Times New Roman" w:eastAsia="Times New Roman" w:hAnsi="Times New Roman" w:cs="Times New Roman"/>
          <w:i/>
          <w:sz w:val="24"/>
          <w:szCs w:val="24"/>
          <w:u w:val="single"/>
          <w:lang w:val="es-MX" w:eastAsia="es-CO"/>
        </w:rPr>
        <w:lastRenderedPageBreak/>
        <w:t>en la fuente</w:t>
      </w:r>
      <w:r w:rsidRPr="000B4725">
        <w:rPr>
          <w:rFonts w:ascii="Times New Roman" w:eastAsia="Times New Roman" w:hAnsi="Times New Roman" w:cs="Times New Roman"/>
          <w:i/>
          <w:sz w:val="24"/>
          <w:szCs w:val="24"/>
          <w:lang w:val="es-MX" w:eastAsia="es-CO"/>
        </w:rPr>
        <w:t xml:space="preserve">, además se incluye un parágrafo transitorio para garantizar que los empleadores puedan modificar y ajustar sus sistemas de pago.” </w:t>
      </w:r>
      <w:r w:rsidRPr="000B4725">
        <w:rPr>
          <w:rFonts w:ascii="Times New Roman" w:eastAsia="Times New Roman" w:hAnsi="Times New Roman" w:cs="Times New Roman"/>
          <w:sz w:val="24"/>
          <w:szCs w:val="24"/>
          <w:lang w:val="es-MX" w:eastAsia="es-CO"/>
        </w:rPr>
        <w:t>(Gaceta del Congreso No. 913 del 10 de diciembre de 2012, pág. 7) (</w:t>
      </w:r>
      <w:proofErr w:type="gramStart"/>
      <w:r w:rsidRPr="000B4725">
        <w:rPr>
          <w:rFonts w:ascii="Times New Roman" w:eastAsia="Times New Roman" w:hAnsi="Times New Roman" w:cs="Times New Roman"/>
          <w:sz w:val="24"/>
          <w:szCs w:val="24"/>
          <w:lang w:val="es-MX" w:eastAsia="es-CO"/>
        </w:rPr>
        <w:t>subrayado</w:t>
      </w:r>
      <w:proofErr w:type="gramEnd"/>
      <w:r w:rsidRPr="000B4725">
        <w:rPr>
          <w:rFonts w:ascii="Times New Roman" w:eastAsia="Times New Roman" w:hAnsi="Times New Roman" w:cs="Times New Roman"/>
          <w:sz w:val="24"/>
          <w:szCs w:val="24"/>
          <w:lang w:val="es-MX" w:eastAsia="es-CO"/>
        </w:rPr>
        <w:t xml:space="preserve"> fuera de texto).</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335E1B" w:rsidRDefault="00EB6402" w:rsidP="00EB6402">
      <w:pPr>
        <w:spacing w:after="0" w:line="240" w:lineRule="auto"/>
        <w:jc w:val="both"/>
        <w:rPr>
          <w:rFonts w:ascii="Times New Roman" w:eastAsia="Times New Roman" w:hAnsi="Times New Roman" w:cs="Times New Roman"/>
          <w:b/>
          <w:sz w:val="24"/>
          <w:szCs w:val="24"/>
          <w:lang w:eastAsia="es-CO"/>
        </w:rPr>
      </w:pPr>
      <w:r w:rsidRPr="00335E1B">
        <w:rPr>
          <w:rFonts w:ascii="Times New Roman" w:eastAsia="Times New Roman" w:hAnsi="Times New Roman" w:cs="Times New Roman"/>
          <w:b/>
          <w:sz w:val="24"/>
          <w:szCs w:val="24"/>
          <w:lang w:val="es-MX" w:eastAsia="es-CO"/>
        </w:rPr>
        <w:t xml:space="preserve">Desde esta perspectiva, debe tenerse presente que la retención en la fuente mínima guarda íntima relación con el Impuesto Mínimo Alternativo Nacional (IMAN) para empleados, y que por mandato de los artículos </w:t>
      </w:r>
      <w:hyperlink r:id="rId27" w:tooltip="Estatuto Tributario CETA" w:history="1">
        <w:r w:rsidRPr="00335E1B">
          <w:rPr>
            <w:rFonts w:ascii="Times New Roman" w:eastAsia="Times New Roman" w:hAnsi="Times New Roman" w:cs="Times New Roman"/>
            <w:b/>
            <w:sz w:val="24"/>
            <w:szCs w:val="24"/>
            <w:lang w:val="es-MX" w:eastAsia="es-CO"/>
          </w:rPr>
          <w:t>330</w:t>
        </w:r>
      </w:hyperlink>
      <w:r w:rsidRPr="00335E1B">
        <w:rPr>
          <w:rFonts w:ascii="Times New Roman" w:eastAsia="Times New Roman" w:hAnsi="Times New Roman" w:cs="Times New Roman"/>
          <w:b/>
          <w:sz w:val="24"/>
          <w:szCs w:val="24"/>
          <w:lang w:val="es-MX" w:eastAsia="es-CO"/>
        </w:rPr>
        <w:t xml:space="preserve"> y </w:t>
      </w:r>
      <w:hyperlink r:id="rId28" w:tooltip="Estatuto Tributario CETA" w:history="1">
        <w:r w:rsidRPr="00335E1B">
          <w:rPr>
            <w:rFonts w:ascii="Times New Roman" w:eastAsia="Times New Roman" w:hAnsi="Times New Roman" w:cs="Times New Roman"/>
            <w:b/>
            <w:sz w:val="24"/>
            <w:szCs w:val="24"/>
            <w:lang w:val="es-MX" w:eastAsia="es-CO"/>
          </w:rPr>
          <w:t>331</w:t>
        </w:r>
      </w:hyperlink>
      <w:r w:rsidRPr="00335E1B">
        <w:rPr>
          <w:rFonts w:ascii="Times New Roman" w:eastAsia="Times New Roman" w:hAnsi="Times New Roman" w:cs="Times New Roman"/>
          <w:b/>
          <w:sz w:val="24"/>
          <w:szCs w:val="24"/>
          <w:lang w:val="es-MX" w:eastAsia="es-CO"/>
        </w:rPr>
        <w:t xml:space="preserve"> del Estatuto Tributario, este sistema de determinación del impuesto sobre la renta, solo admite los factores de depuración expresamente señalados en el </w:t>
      </w:r>
      <w:hyperlink r:id="rId29" w:tooltip="Estatuto Tributario CETA" w:history="1">
        <w:r w:rsidRPr="00335E1B">
          <w:rPr>
            <w:rFonts w:ascii="Times New Roman" w:eastAsia="Times New Roman" w:hAnsi="Times New Roman" w:cs="Times New Roman"/>
            <w:b/>
            <w:sz w:val="24"/>
            <w:szCs w:val="24"/>
            <w:lang w:val="es-MX" w:eastAsia="es-CO"/>
          </w:rPr>
          <w:t>artículo 332</w:t>
        </w:r>
      </w:hyperlink>
      <w:r w:rsidRPr="00335E1B">
        <w:rPr>
          <w:rFonts w:ascii="Times New Roman" w:eastAsia="Times New Roman" w:hAnsi="Times New Roman" w:cs="Times New Roman"/>
          <w:b/>
          <w:sz w:val="24"/>
          <w:szCs w:val="24"/>
          <w:lang w:val="es-MX" w:eastAsia="es-CO"/>
        </w:rPr>
        <w:t xml:space="preserve"> ibídem, dentro de los cuales no se mencionan los pagos laborales indirectos de que trata el artículo 5 del Decreto Reglamentario 3750 de 1986.</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En consonancia con lo anterior, sobre el alcance de los artículos </w:t>
      </w:r>
      <w:hyperlink r:id="rId30" w:tooltip="Estatuto Tributario CETA" w:history="1">
        <w:r w:rsidRPr="000B4725">
          <w:rPr>
            <w:rFonts w:ascii="Times New Roman" w:eastAsia="Times New Roman" w:hAnsi="Times New Roman" w:cs="Times New Roman"/>
            <w:sz w:val="24"/>
            <w:szCs w:val="24"/>
            <w:lang w:val="es-MX" w:eastAsia="es-CO"/>
          </w:rPr>
          <w:t>383</w:t>
        </w:r>
      </w:hyperlink>
      <w:r w:rsidRPr="000B4725">
        <w:rPr>
          <w:rFonts w:ascii="Times New Roman" w:eastAsia="Times New Roman" w:hAnsi="Times New Roman" w:cs="Times New Roman"/>
          <w:sz w:val="24"/>
          <w:szCs w:val="24"/>
          <w:lang w:val="es-MX" w:eastAsia="es-CO"/>
        </w:rPr>
        <w:t xml:space="preserve"> y </w:t>
      </w:r>
      <w:hyperlink r:id="rId31" w:tooltip="Estatuto Tributario CETA" w:history="1">
        <w:r w:rsidRPr="000B4725">
          <w:rPr>
            <w:rFonts w:ascii="Times New Roman" w:eastAsia="Times New Roman" w:hAnsi="Times New Roman" w:cs="Times New Roman"/>
            <w:sz w:val="24"/>
            <w:szCs w:val="24"/>
            <w:lang w:val="es-MX" w:eastAsia="es-CO"/>
          </w:rPr>
          <w:t>384</w:t>
        </w:r>
      </w:hyperlink>
      <w:r w:rsidRPr="000B4725">
        <w:rPr>
          <w:rFonts w:ascii="Times New Roman" w:eastAsia="Times New Roman" w:hAnsi="Times New Roman" w:cs="Times New Roman"/>
          <w:sz w:val="24"/>
          <w:szCs w:val="24"/>
          <w:lang w:val="es-MX" w:eastAsia="es-CO"/>
        </w:rPr>
        <w:t xml:space="preserve"> del Estatuto </w:t>
      </w:r>
      <w:bookmarkStart w:id="0" w:name="_GoBack"/>
      <w:bookmarkEnd w:id="0"/>
      <w:r w:rsidRPr="000B4725">
        <w:rPr>
          <w:rFonts w:ascii="Times New Roman" w:eastAsia="Times New Roman" w:hAnsi="Times New Roman" w:cs="Times New Roman"/>
          <w:sz w:val="24"/>
          <w:szCs w:val="24"/>
          <w:lang w:val="es-MX" w:eastAsia="es-CO"/>
        </w:rPr>
        <w:t xml:space="preserve">Tributario, este Despacho ha manifestado que el agente retenedor debe efectuar dos cálculos de la retención en la fuente, de acuerdo con los artículos </w:t>
      </w:r>
      <w:hyperlink r:id="rId32" w:tooltip="Estatuto Tributario CETA" w:history="1">
        <w:r w:rsidRPr="000B4725">
          <w:rPr>
            <w:rFonts w:ascii="Times New Roman" w:eastAsia="Times New Roman" w:hAnsi="Times New Roman" w:cs="Times New Roman"/>
            <w:sz w:val="24"/>
            <w:szCs w:val="24"/>
            <w:lang w:val="es-MX" w:eastAsia="es-CO"/>
          </w:rPr>
          <w:t>383</w:t>
        </w:r>
      </w:hyperlink>
      <w:r w:rsidRPr="000B4725">
        <w:rPr>
          <w:rFonts w:ascii="Times New Roman" w:eastAsia="Times New Roman" w:hAnsi="Times New Roman" w:cs="Times New Roman"/>
          <w:sz w:val="24"/>
          <w:szCs w:val="24"/>
          <w:lang w:val="es-MX" w:eastAsia="es-CO"/>
        </w:rPr>
        <w:t xml:space="preserve"> y </w:t>
      </w:r>
      <w:hyperlink r:id="rId33" w:tooltip="Estatuto Tributario CETA" w:history="1">
        <w:r w:rsidRPr="000B4725">
          <w:rPr>
            <w:rFonts w:ascii="Times New Roman" w:eastAsia="Times New Roman" w:hAnsi="Times New Roman" w:cs="Times New Roman"/>
            <w:sz w:val="24"/>
            <w:szCs w:val="24"/>
            <w:lang w:val="es-MX" w:eastAsia="es-CO"/>
          </w:rPr>
          <w:t>384</w:t>
        </w:r>
      </w:hyperlink>
      <w:r w:rsidRPr="000B4725">
        <w:rPr>
          <w:rFonts w:ascii="Times New Roman" w:eastAsia="Times New Roman" w:hAnsi="Times New Roman" w:cs="Times New Roman"/>
          <w:sz w:val="24"/>
          <w:szCs w:val="24"/>
          <w:lang w:val="es-MX" w:eastAsia="es-CO"/>
        </w:rPr>
        <w:t xml:space="preserve"> del Estatuto Tributario y debe descontar la retención en la fuente que resulte mayor al comparar los dos cálculos. Si la retención que arroja la tabla del </w:t>
      </w:r>
      <w:hyperlink r:id="rId34" w:tooltip="Estatuto Tributario CETA" w:history="1">
        <w:r w:rsidRPr="000B4725">
          <w:rPr>
            <w:rFonts w:ascii="Times New Roman" w:eastAsia="Times New Roman" w:hAnsi="Times New Roman" w:cs="Times New Roman"/>
            <w:sz w:val="24"/>
            <w:szCs w:val="24"/>
            <w:lang w:val="es-MX" w:eastAsia="es-CO"/>
          </w:rPr>
          <w:t>artículo 383</w:t>
        </w:r>
      </w:hyperlink>
      <w:r w:rsidRPr="000B4725">
        <w:rPr>
          <w:rFonts w:ascii="Times New Roman" w:eastAsia="Times New Roman" w:hAnsi="Times New Roman" w:cs="Times New Roman"/>
          <w:sz w:val="24"/>
          <w:szCs w:val="24"/>
          <w:lang w:val="es-MX" w:eastAsia="es-CO"/>
        </w:rPr>
        <w:t xml:space="preserve"> es inferior a la de la tabla del </w:t>
      </w:r>
      <w:hyperlink r:id="rId35"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se debe practicar la retención del </w:t>
      </w:r>
      <w:hyperlink r:id="rId36"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que es la retención mínima. Si la retención que arroja la tabla del </w:t>
      </w:r>
      <w:hyperlink r:id="rId37" w:tooltip="Estatuto Tributario CETA" w:history="1">
        <w:r w:rsidRPr="000B4725">
          <w:rPr>
            <w:rFonts w:ascii="Times New Roman" w:eastAsia="Times New Roman" w:hAnsi="Times New Roman" w:cs="Times New Roman"/>
            <w:sz w:val="24"/>
            <w:szCs w:val="24"/>
            <w:lang w:val="es-MX" w:eastAsia="es-CO"/>
          </w:rPr>
          <w:t>artículo 383</w:t>
        </w:r>
      </w:hyperlink>
      <w:r w:rsidRPr="000B4725">
        <w:rPr>
          <w:rFonts w:ascii="Times New Roman" w:eastAsia="Times New Roman" w:hAnsi="Times New Roman" w:cs="Times New Roman"/>
          <w:sz w:val="24"/>
          <w:szCs w:val="24"/>
          <w:lang w:val="es-MX" w:eastAsia="es-CO"/>
        </w:rPr>
        <w:t xml:space="preserve"> es superior a la de la tabla del </w:t>
      </w:r>
      <w:hyperlink r:id="rId38"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se debe practicar la retención del </w:t>
      </w:r>
      <w:hyperlink r:id="rId39" w:tooltip="Estatuto Tributario CETA" w:history="1">
        <w:r w:rsidRPr="000B4725">
          <w:rPr>
            <w:rFonts w:ascii="Times New Roman" w:eastAsia="Times New Roman" w:hAnsi="Times New Roman" w:cs="Times New Roman"/>
            <w:sz w:val="24"/>
            <w:szCs w:val="24"/>
            <w:lang w:val="es-MX" w:eastAsia="es-CO"/>
          </w:rPr>
          <w:t>artículo 383</w:t>
        </w:r>
      </w:hyperlink>
      <w:r w:rsidRPr="000B4725">
        <w:rPr>
          <w:rFonts w:ascii="Times New Roman" w:eastAsia="Times New Roman" w:hAnsi="Times New Roman" w:cs="Times New Roman"/>
          <w:sz w:val="24"/>
          <w:szCs w:val="24"/>
          <w:lang w:val="es-MX" w:eastAsia="es-CO"/>
        </w:rPr>
        <w:t xml:space="preserve">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xml:space="preserve">En este orden de ideas, es cierto que las modificaciones introducidas por la Ley 1607 de 2012, entre otros, a los artículos </w:t>
      </w:r>
      <w:hyperlink r:id="rId40" w:tooltip="Estatuto Tributario CETA" w:history="1">
        <w:r w:rsidRPr="000B4725">
          <w:rPr>
            <w:rFonts w:ascii="Times New Roman" w:eastAsia="Times New Roman" w:hAnsi="Times New Roman" w:cs="Times New Roman"/>
            <w:sz w:val="24"/>
            <w:szCs w:val="24"/>
            <w:lang w:val="es-MX" w:eastAsia="es-CO"/>
          </w:rPr>
          <w:t>383</w:t>
        </w:r>
      </w:hyperlink>
      <w:r w:rsidRPr="000B4725">
        <w:rPr>
          <w:rFonts w:ascii="Times New Roman" w:eastAsia="Times New Roman" w:hAnsi="Times New Roman" w:cs="Times New Roman"/>
          <w:sz w:val="24"/>
          <w:szCs w:val="24"/>
          <w:lang w:val="es-MX" w:eastAsia="es-CO"/>
        </w:rPr>
        <w:t xml:space="preserve"> y </w:t>
      </w:r>
      <w:hyperlink r:id="rId41" w:tooltip="Estatuto Tributario CETA" w:history="1">
        <w:r w:rsidRPr="000B4725">
          <w:rPr>
            <w:rFonts w:ascii="Times New Roman" w:eastAsia="Times New Roman" w:hAnsi="Times New Roman" w:cs="Times New Roman"/>
            <w:sz w:val="24"/>
            <w:szCs w:val="24"/>
            <w:lang w:val="es-MX" w:eastAsia="es-CO"/>
          </w:rPr>
          <w:t>387</w:t>
        </w:r>
      </w:hyperlink>
      <w:r w:rsidRPr="000B4725">
        <w:rPr>
          <w:rFonts w:ascii="Times New Roman" w:eastAsia="Times New Roman" w:hAnsi="Times New Roman" w:cs="Times New Roman"/>
          <w:sz w:val="24"/>
          <w:szCs w:val="24"/>
          <w:lang w:val="es-MX" w:eastAsia="es-CO"/>
        </w:rPr>
        <w:t xml:space="preserve"> del Estatuto Tributario, dejaron incólume la aplicación del artículo 5 del Decreto Reglamentario 3750 de 1986 para efectos de la retención en la fuente sobre ingresos laborales en lo que dice relación con el régimen ordinario del Impuesto sobre la Renta. No se predica lo mismo frente al </w:t>
      </w:r>
      <w:hyperlink r:id="rId42" w:tooltip="Estatuto Tributario CETA" w:history="1">
        <w:r w:rsidRPr="000B4725">
          <w:rPr>
            <w:rFonts w:ascii="Times New Roman" w:eastAsia="Times New Roman" w:hAnsi="Times New Roman" w:cs="Times New Roman"/>
            <w:sz w:val="24"/>
            <w:szCs w:val="24"/>
            <w:lang w:val="es-MX" w:eastAsia="es-CO"/>
          </w:rPr>
          <w:t>artículo 384</w:t>
        </w:r>
      </w:hyperlink>
      <w:r w:rsidRPr="000B4725">
        <w:rPr>
          <w:rFonts w:ascii="Times New Roman" w:eastAsia="Times New Roman" w:hAnsi="Times New Roman" w:cs="Times New Roman"/>
          <w:sz w:val="24"/>
          <w:szCs w:val="24"/>
          <w:lang w:val="es-MX" w:eastAsia="es-CO"/>
        </w:rPr>
        <w:t xml:space="preserve"> del Estatuto Tributario, porque este es un artículo nuevo, adicionado por el artículo 14 de la Ley 1607 de 2012 y en consecuencia de ninguna manera podría sostenerse que el artículo 5 del Decreto Reglamentario 3750 de 1986 lo reglamenta.</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En mérito de lo expuesto, se confirma el oficio No. 022872 del 19 de abril de 2013.</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Atentamente,</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eastAsia="es-CO"/>
        </w:rPr>
      </w:pPr>
      <w:r w:rsidRPr="000B4725">
        <w:rPr>
          <w:rFonts w:ascii="Times New Roman" w:eastAsia="Times New Roman" w:hAnsi="Times New Roman" w:cs="Times New Roman"/>
          <w:b/>
          <w:sz w:val="24"/>
          <w:szCs w:val="24"/>
          <w:lang w:val="es-MX" w:eastAsia="es-CO"/>
        </w:rPr>
        <w:t>ISABEL CRISTINA GARCÉS SÁNCHEZ</w:t>
      </w:r>
    </w:p>
    <w:p w:rsidR="00EB6402" w:rsidRPr="000B4725" w:rsidRDefault="00EB6402" w:rsidP="00EB6402">
      <w:pPr>
        <w:spacing w:after="0" w:line="240" w:lineRule="auto"/>
        <w:jc w:val="both"/>
        <w:rPr>
          <w:rFonts w:ascii="Times New Roman" w:eastAsia="Times New Roman" w:hAnsi="Times New Roman" w:cs="Times New Roman"/>
          <w:sz w:val="24"/>
          <w:szCs w:val="24"/>
          <w:lang w:val="es-MX" w:eastAsia="es-CO"/>
        </w:rPr>
      </w:pPr>
      <w:r w:rsidRPr="000B4725">
        <w:rPr>
          <w:rFonts w:ascii="Times New Roman" w:eastAsia="Times New Roman" w:hAnsi="Times New Roman" w:cs="Times New Roman"/>
          <w:sz w:val="24"/>
          <w:szCs w:val="24"/>
          <w:lang w:val="es-MX" w:eastAsia="es-CO"/>
        </w:rPr>
        <w:t>Directora de Gestión Jurídica</w:t>
      </w:r>
    </w:p>
    <w:p w:rsidR="00EB6402" w:rsidRPr="000B4725" w:rsidRDefault="00EB6402" w:rsidP="00EB6402">
      <w:pPr>
        <w:spacing w:after="0" w:line="240" w:lineRule="auto"/>
        <w:jc w:val="both"/>
        <w:rPr>
          <w:rFonts w:ascii="Times New Roman" w:eastAsia="Times New Roman" w:hAnsi="Times New Roman" w:cs="Times New Roman"/>
          <w:sz w:val="24"/>
          <w:szCs w:val="24"/>
          <w:lang w:val="es-MX"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val="es-MX" w:eastAsia="es-CO"/>
        </w:rPr>
      </w:pPr>
      <w:r w:rsidRPr="000B4725">
        <w:rPr>
          <w:rFonts w:ascii="Times New Roman" w:eastAsia="Times New Roman" w:hAnsi="Times New Roman" w:cs="Times New Roman"/>
          <w:sz w:val="24"/>
          <w:szCs w:val="24"/>
          <w:lang w:val="es-MX" w:eastAsia="es-CO"/>
        </w:rPr>
        <w:t> </w:t>
      </w:r>
    </w:p>
    <w:p w:rsidR="00EB6402" w:rsidRPr="000B4725" w:rsidRDefault="00EB6402" w:rsidP="00EB6402">
      <w:pPr>
        <w:spacing w:after="0" w:line="240" w:lineRule="auto"/>
        <w:jc w:val="both"/>
        <w:rPr>
          <w:rFonts w:ascii="Times New Roman" w:eastAsia="Times New Roman" w:hAnsi="Times New Roman" w:cs="Times New Roman"/>
          <w:sz w:val="24"/>
          <w:szCs w:val="24"/>
          <w:lang w:val="es-MX" w:eastAsia="es-CO"/>
        </w:rPr>
      </w:pPr>
      <w:r w:rsidRPr="000B4725">
        <w:rPr>
          <w:rFonts w:ascii="Times New Roman" w:eastAsia="Times New Roman" w:hAnsi="Times New Roman" w:cs="Times New Roman"/>
          <w:b/>
          <w:sz w:val="24"/>
          <w:szCs w:val="24"/>
          <w:lang w:val="es-MX" w:eastAsia="es-CO"/>
        </w:rPr>
        <w:t>Publicado en D.O. 48.869 del 1 de agosto de 2013.</w:t>
      </w:r>
    </w:p>
    <w:p w:rsidR="001F3430" w:rsidRPr="000B4725" w:rsidRDefault="001F3430">
      <w:pPr>
        <w:rPr>
          <w:rFonts w:ascii="Times New Roman" w:hAnsi="Times New Roman" w:cs="Times New Roman"/>
          <w:sz w:val="24"/>
          <w:szCs w:val="24"/>
          <w:lang w:val="es-MX"/>
        </w:rPr>
      </w:pPr>
    </w:p>
    <w:sectPr w:rsidR="001F3430" w:rsidRPr="000B47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402"/>
    <w:rsid w:val="000B4725"/>
    <w:rsid w:val="001F3430"/>
    <w:rsid w:val="00335E1B"/>
    <w:rsid w:val="00EB6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10874" TargetMode="External"/><Relationship Id="rId18" Type="http://schemas.openxmlformats.org/officeDocument/2006/relationships/hyperlink" Target="http://www.ceta.org.co/html/vista_de_un_articulo.asp?Norma=10874" TargetMode="External"/><Relationship Id="rId26" Type="http://schemas.openxmlformats.org/officeDocument/2006/relationships/hyperlink" Target="http://www.ceta.org.co/html/vista_de_un_articulo.asp?Norma=477" TargetMode="External"/><Relationship Id="rId39" Type="http://schemas.openxmlformats.org/officeDocument/2006/relationships/hyperlink" Target="http://www.ceta.org.co/html/vista_de_un_articulo.asp?Norma=476" TargetMode="External"/><Relationship Id="rId21" Type="http://schemas.openxmlformats.org/officeDocument/2006/relationships/hyperlink" Target="http://www.ceta.org.co/html/vista_de_un_articulo.asp?Norma=480" TargetMode="External"/><Relationship Id="rId34" Type="http://schemas.openxmlformats.org/officeDocument/2006/relationships/hyperlink" Target="http://www.ceta.org.co/html/vista_de_un_articulo.asp?Norma=476" TargetMode="External"/><Relationship Id="rId42" Type="http://schemas.openxmlformats.org/officeDocument/2006/relationships/hyperlink" Target="http://www.ceta.org.co/html/vista_de_un_articulo.asp?Norma=477" TargetMode="External"/><Relationship Id="rId7" Type="http://schemas.openxmlformats.org/officeDocument/2006/relationships/hyperlink" Target="http://www.ceta.org.co/html/vista_de_un_articulo.asp?Norma=410" TargetMode="External"/><Relationship Id="rId2" Type="http://schemas.microsoft.com/office/2007/relationships/stylesWithEffects" Target="stylesWithEffects.xml"/><Relationship Id="rId16" Type="http://schemas.openxmlformats.org/officeDocument/2006/relationships/hyperlink" Target="http://www.ceta.org.co/html/vista_de_un_articulo.asp?Norma=10874" TargetMode="External"/><Relationship Id="rId20" Type="http://schemas.openxmlformats.org/officeDocument/2006/relationships/hyperlink" Target="http://www.ceta.org.co/html/vista_de_un_articulo.asp?Norma=476" TargetMode="External"/><Relationship Id="rId29" Type="http://schemas.openxmlformats.org/officeDocument/2006/relationships/hyperlink" Target="http://www.ceta.org.co/html/vista_de_un_articulo.asp?Norma=411" TargetMode="External"/><Relationship Id="rId41" Type="http://schemas.openxmlformats.org/officeDocument/2006/relationships/hyperlink" Target="http://www.ceta.org.co/html/vista_de_un_articulo.asp?Norma=480" TargetMode="External"/><Relationship Id="rId1" Type="http://schemas.openxmlformats.org/officeDocument/2006/relationships/styles" Target="styles.xml"/><Relationship Id="rId6" Type="http://schemas.openxmlformats.org/officeDocument/2006/relationships/hyperlink" Target="http://www.ceta.org.co/html/vista_de_un_articulo.asp?Norma=409" TargetMode="External"/><Relationship Id="rId11" Type="http://schemas.openxmlformats.org/officeDocument/2006/relationships/hyperlink" Target="http://www.ceta.org.co/html/vista_de_un_articulo.asp?Norma=480" TargetMode="External"/><Relationship Id="rId24" Type="http://schemas.openxmlformats.org/officeDocument/2006/relationships/hyperlink" Target="http://www.ceta.org.co/html/vista_de_un_articulo.asp?Norma=476" TargetMode="External"/><Relationship Id="rId32" Type="http://schemas.openxmlformats.org/officeDocument/2006/relationships/hyperlink" Target="http://www.ceta.org.co/html/vista_de_un_articulo.asp?Norma=476" TargetMode="External"/><Relationship Id="rId37" Type="http://schemas.openxmlformats.org/officeDocument/2006/relationships/hyperlink" Target="http://www.ceta.org.co/html/vista_de_un_articulo.asp?Norma=476" TargetMode="External"/><Relationship Id="rId40" Type="http://schemas.openxmlformats.org/officeDocument/2006/relationships/hyperlink" Target="http://www.ceta.org.co/html/vista_de_un_articulo.asp?Norma=476" TargetMode="External"/><Relationship Id="rId5" Type="http://schemas.openxmlformats.org/officeDocument/2006/relationships/hyperlink" Target="http://www.ceta.org.co/html/vista_de_un_articulo.asp?Norma=10874" TargetMode="External"/><Relationship Id="rId15" Type="http://schemas.openxmlformats.org/officeDocument/2006/relationships/hyperlink" Target="http://www.ceta.org.co/html/vista_de_un_articulo.asp?Norma=10874" TargetMode="External"/><Relationship Id="rId23" Type="http://schemas.openxmlformats.org/officeDocument/2006/relationships/hyperlink" Target="http://www.ceta.org.co/html/vista_de_un_articulo.asp?Norma=477" TargetMode="External"/><Relationship Id="rId28" Type="http://schemas.openxmlformats.org/officeDocument/2006/relationships/hyperlink" Target="http://www.ceta.org.co/html/vista_de_un_articulo.asp?Norma=410" TargetMode="External"/><Relationship Id="rId36" Type="http://schemas.openxmlformats.org/officeDocument/2006/relationships/hyperlink" Target="http://www.ceta.org.co/html/vista_de_un_articulo.asp?Norma=477" TargetMode="External"/><Relationship Id="rId10" Type="http://schemas.openxmlformats.org/officeDocument/2006/relationships/hyperlink" Target="http://www.ceta.org.co/html/vista_de_un_articulo.asp?Norma=477" TargetMode="External"/><Relationship Id="rId19" Type="http://schemas.openxmlformats.org/officeDocument/2006/relationships/hyperlink" Target="http://www.ceta.org.co/html/vista_de_un_articulo.asp?Norma=10874" TargetMode="External"/><Relationship Id="rId31" Type="http://schemas.openxmlformats.org/officeDocument/2006/relationships/hyperlink" Target="http://www.ceta.org.co/html/vista_de_un_articulo.asp?Norma=477"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eta.org.co/html/vista_de_un_articulo.asp?Norma=476" TargetMode="External"/><Relationship Id="rId14" Type="http://schemas.openxmlformats.org/officeDocument/2006/relationships/hyperlink" Target="http://www.ceta.org.co/html/vista_de_un_articulo.asp?Norma=481" TargetMode="External"/><Relationship Id="rId22" Type="http://schemas.openxmlformats.org/officeDocument/2006/relationships/hyperlink" Target="http://www.ceta.org.co/html/vista_de_un_articulo.asp?Norma=477" TargetMode="External"/><Relationship Id="rId27" Type="http://schemas.openxmlformats.org/officeDocument/2006/relationships/hyperlink" Target="http://www.ceta.org.co/html/vista_de_un_articulo.asp?Norma=409" TargetMode="External"/><Relationship Id="rId30" Type="http://schemas.openxmlformats.org/officeDocument/2006/relationships/hyperlink" Target="http://www.ceta.org.co/html/vista_de_un_articulo.asp?Norma=476" TargetMode="External"/><Relationship Id="rId35" Type="http://schemas.openxmlformats.org/officeDocument/2006/relationships/hyperlink" Target="http://www.ceta.org.co/html/vista_de_un_articulo.asp?Norma=477" TargetMode="External"/><Relationship Id="rId43" Type="http://schemas.openxmlformats.org/officeDocument/2006/relationships/fontTable" Target="fontTable.xml"/><Relationship Id="rId8" Type="http://schemas.openxmlformats.org/officeDocument/2006/relationships/hyperlink" Target="http://www.ceta.org.co/html/vista_de_un_articulo.asp?Norma=411" TargetMode="External"/><Relationship Id="rId3" Type="http://schemas.openxmlformats.org/officeDocument/2006/relationships/settings" Target="settings.xml"/><Relationship Id="rId12" Type="http://schemas.openxmlformats.org/officeDocument/2006/relationships/hyperlink" Target="http://www.ceta.org.co/html/vista_de_un_articulo.asp?Norma=477" TargetMode="External"/><Relationship Id="rId17" Type="http://schemas.openxmlformats.org/officeDocument/2006/relationships/hyperlink" Target="http://www.ceta.org.co/html/vista_de_un_articulo.asp?Norma=480" TargetMode="External"/><Relationship Id="rId25" Type="http://schemas.openxmlformats.org/officeDocument/2006/relationships/hyperlink" Target="http://www.ceta.org.co/html/vista_de_un_articulo.asp?Norma=477" TargetMode="External"/><Relationship Id="rId33" Type="http://schemas.openxmlformats.org/officeDocument/2006/relationships/hyperlink" Target="http://www.ceta.org.co/html/vista_de_un_articulo.asp?Norma=477" TargetMode="External"/><Relationship Id="rId38" Type="http://schemas.openxmlformats.org/officeDocument/2006/relationships/hyperlink" Target="http://www.ceta.org.co/html/vista_de_un_articulo.asp?Norma=4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2616</Words>
  <Characters>14391</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2013-10-13T18:16:00Z</dcterms:created>
  <dcterms:modified xsi:type="dcterms:W3CDTF">2013-10-17T21:43:00Z</dcterms:modified>
</cp:coreProperties>
</file>